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6" w:rsidRDefault="00530106" w:rsidP="00530106">
      <w:pPr>
        <w:pStyle w:val="a3"/>
      </w:pPr>
      <w:r>
        <w:t>ТЕРРИТОРИАЛЬНАЯ ИЗБИРАТЕЛЬНАЯ КОМИССИИЯ</w:t>
      </w:r>
    </w:p>
    <w:p w:rsidR="00530106" w:rsidRDefault="00530106" w:rsidP="005301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КУВШИНОВСКОГО РАЙОНА</w:t>
      </w:r>
    </w:p>
    <w:p w:rsidR="00530106" w:rsidRDefault="00530106" w:rsidP="00530106">
      <w:pPr>
        <w:jc w:val="center"/>
        <w:rPr>
          <w:b/>
          <w:bCs/>
          <w:sz w:val="32"/>
        </w:rPr>
      </w:pPr>
    </w:p>
    <w:p w:rsidR="00530106" w:rsidRDefault="00530106" w:rsidP="00530106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530106" w:rsidRDefault="00530106" w:rsidP="00530106">
      <w:pPr>
        <w:jc w:val="center"/>
        <w:rPr>
          <w:bCs/>
          <w:sz w:val="32"/>
        </w:rPr>
      </w:pPr>
    </w:p>
    <w:p w:rsidR="00530106" w:rsidRDefault="00530106" w:rsidP="00530106">
      <w:pPr>
        <w:jc w:val="center"/>
        <w:rPr>
          <w:bCs/>
          <w:sz w:val="32"/>
        </w:rPr>
      </w:pPr>
    </w:p>
    <w:p w:rsidR="00530106" w:rsidRDefault="00530106" w:rsidP="00530106">
      <w:pPr>
        <w:rPr>
          <w:b/>
          <w:bCs/>
          <w:sz w:val="28"/>
        </w:rPr>
      </w:pPr>
    </w:p>
    <w:p w:rsidR="00530106" w:rsidRPr="00557AC1" w:rsidRDefault="00530106" w:rsidP="00530106">
      <w:pPr>
        <w:jc w:val="center"/>
        <w:rPr>
          <w:sz w:val="28"/>
          <w:szCs w:val="28"/>
          <w:u w:val="single"/>
        </w:rPr>
      </w:pPr>
      <w:r w:rsidRPr="00557AC1">
        <w:rPr>
          <w:sz w:val="28"/>
          <w:szCs w:val="28"/>
          <w:u w:val="single"/>
        </w:rPr>
        <w:t>13 сентября 2011  года</w:t>
      </w:r>
      <w:r w:rsidRPr="00557AC1">
        <w:rPr>
          <w:sz w:val="28"/>
          <w:szCs w:val="28"/>
        </w:rPr>
        <w:t xml:space="preserve">                    г. Кувшиново                       </w:t>
      </w:r>
      <w:r w:rsidRPr="00557AC1">
        <w:rPr>
          <w:b/>
          <w:sz w:val="28"/>
          <w:szCs w:val="28"/>
        </w:rPr>
        <w:t xml:space="preserve">            </w:t>
      </w:r>
      <w:r w:rsidRPr="00557AC1">
        <w:rPr>
          <w:sz w:val="28"/>
          <w:szCs w:val="28"/>
          <w:u w:val="single"/>
        </w:rPr>
        <w:t>№ 4/1</w:t>
      </w:r>
      <w:r>
        <w:rPr>
          <w:sz w:val="28"/>
          <w:szCs w:val="28"/>
          <w:u w:val="single"/>
        </w:rPr>
        <w:t>4</w:t>
      </w:r>
      <w:r w:rsidRPr="00557AC1">
        <w:rPr>
          <w:sz w:val="28"/>
          <w:szCs w:val="28"/>
          <w:u w:val="single"/>
        </w:rPr>
        <w:t>-3</w:t>
      </w:r>
    </w:p>
    <w:p w:rsidR="00530106" w:rsidRPr="00557AC1" w:rsidRDefault="00530106" w:rsidP="00530106">
      <w:pPr>
        <w:jc w:val="center"/>
        <w:rPr>
          <w:sz w:val="28"/>
          <w:szCs w:val="28"/>
          <w:u w:val="single"/>
        </w:rPr>
      </w:pPr>
    </w:p>
    <w:p w:rsidR="00965096" w:rsidRDefault="00965096" w:rsidP="00965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 w:rsidR="00C4659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оложении</w:t>
      </w:r>
      <w:proofErr w:type="gramEnd"/>
      <w:r>
        <w:rPr>
          <w:b/>
          <w:sz w:val="28"/>
          <w:szCs w:val="28"/>
        </w:rPr>
        <w:t xml:space="preserve"> о Рабочей группе по информационным спорам и иным вопросам информационного обеспечения выборов в период подготовки и проведения выборов депутатов Государственной Думы Федерального Собрания Российской Федерации шестого созыва 4 декабря 2011 года.</w:t>
      </w:r>
    </w:p>
    <w:p w:rsidR="00AB43DD" w:rsidRDefault="00AB43DD" w:rsidP="00965096">
      <w:pPr>
        <w:jc w:val="center"/>
        <w:rPr>
          <w:b/>
          <w:sz w:val="28"/>
          <w:szCs w:val="28"/>
        </w:rPr>
      </w:pPr>
    </w:p>
    <w:p w:rsidR="00AB43DD" w:rsidRDefault="00AB43DD" w:rsidP="00AB4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реализации контроля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различного уровня, в соответствии </w:t>
      </w:r>
      <w:r w:rsidR="00C46597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C46597">
        <w:rPr>
          <w:sz w:val="28"/>
          <w:szCs w:val="28"/>
        </w:rPr>
        <w:t>ей</w:t>
      </w:r>
      <w:r>
        <w:rPr>
          <w:sz w:val="28"/>
          <w:szCs w:val="28"/>
        </w:rPr>
        <w:t xml:space="preserve"> 2</w:t>
      </w:r>
      <w:r w:rsidR="00C46597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12.06.2002 № 67- ФЗ «Об основных гарантиях избирательных прав и права на участие в референдуме граждан Российской Федерации», статьи </w:t>
      </w:r>
      <w:r w:rsidR="00C46597">
        <w:rPr>
          <w:sz w:val="28"/>
          <w:szCs w:val="28"/>
        </w:rPr>
        <w:t>22</w:t>
      </w:r>
      <w:r>
        <w:rPr>
          <w:sz w:val="28"/>
          <w:szCs w:val="28"/>
        </w:rPr>
        <w:t xml:space="preserve"> Избирательного Кодекса Тверской области от 07.04.2003 №20-ЗО, Постановлением Центральной избирательной комиссии</w:t>
      </w:r>
      <w:proofErr w:type="gramEnd"/>
      <w:r>
        <w:rPr>
          <w:sz w:val="28"/>
          <w:szCs w:val="28"/>
        </w:rPr>
        <w:t xml:space="preserve"> Российской Федерации от 20.07.2011 года № 21/224-6, территориальная избирательная комиссия Кувшиновского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B43DD" w:rsidRDefault="00AB43DD" w:rsidP="00C46597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Рабочей Группе по информационным спорам и иным вопросам информационного обеспечения выборов (прилагается).</w:t>
      </w:r>
    </w:p>
    <w:p w:rsidR="00AB43DD" w:rsidRDefault="00AB43DD" w:rsidP="00C46597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рабочую группу по информационным спорам и иным вопросам информационного обеспечения выборов.</w:t>
      </w:r>
    </w:p>
    <w:p w:rsidR="00AB43DD" w:rsidRDefault="00AB43DD" w:rsidP="00C46597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рабочей группы по информационным спорам и иным вопросам информационного обеспечения выборов:</w:t>
      </w:r>
    </w:p>
    <w:p w:rsidR="00AB43DD" w:rsidRDefault="00C46597" w:rsidP="00C46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</w:t>
      </w:r>
      <w:r w:rsidR="00AB43DD">
        <w:rPr>
          <w:sz w:val="28"/>
          <w:szCs w:val="28"/>
        </w:rPr>
        <w:t>- Ершов</w:t>
      </w:r>
      <w:r>
        <w:rPr>
          <w:sz w:val="28"/>
          <w:szCs w:val="28"/>
        </w:rPr>
        <w:t>а</w:t>
      </w:r>
      <w:r w:rsidR="00AB43DD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лена </w:t>
      </w:r>
      <w:r w:rsidR="00AB43DD">
        <w:rPr>
          <w:sz w:val="28"/>
          <w:szCs w:val="28"/>
        </w:rPr>
        <w:t>Н</w:t>
      </w:r>
      <w:r>
        <w:rPr>
          <w:sz w:val="28"/>
          <w:szCs w:val="28"/>
        </w:rPr>
        <w:t>иколаевна,</w:t>
      </w:r>
      <w:r w:rsidR="00AB43DD">
        <w:rPr>
          <w:sz w:val="28"/>
          <w:szCs w:val="28"/>
        </w:rPr>
        <w:t xml:space="preserve"> председатель ТИК,</w:t>
      </w:r>
    </w:p>
    <w:p w:rsidR="00AB43DD" w:rsidRDefault="00C46597" w:rsidP="00C46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</w:t>
      </w:r>
      <w:r w:rsidR="00AB43DD">
        <w:rPr>
          <w:sz w:val="28"/>
          <w:szCs w:val="28"/>
        </w:rPr>
        <w:t>- Орлов</w:t>
      </w:r>
      <w:r>
        <w:rPr>
          <w:sz w:val="28"/>
          <w:szCs w:val="28"/>
        </w:rPr>
        <w:t>а</w:t>
      </w:r>
      <w:r w:rsidR="00AB43DD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лена </w:t>
      </w:r>
      <w:r w:rsidR="00AB43DD">
        <w:rPr>
          <w:sz w:val="28"/>
          <w:szCs w:val="28"/>
        </w:rPr>
        <w:t>В</w:t>
      </w:r>
      <w:r>
        <w:rPr>
          <w:sz w:val="28"/>
          <w:szCs w:val="28"/>
        </w:rPr>
        <w:t>алерьевна,</w:t>
      </w:r>
      <w:r w:rsidR="00AB43DD">
        <w:rPr>
          <w:sz w:val="28"/>
          <w:szCs w:val="28"/>
        </w:rPr>
        <w:t xml:space="preserve"> секретарь ТИК,</w:t>
      </w:r>
    </w:p>
    <w:p w:rsidR="00AB43DD" w:rsidRDefault="00C46597" w:rsidP="00C46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 Рабочей группы </w:t>
      </w:r>
      <w:r w:rsidR="00AB43DD">
        <w:rPr>
          <w:sz w:val="28"/>
          <w:szCs w:val="28"/>
        </w:rPr>
        <w:t>- Чистяков</w:t>
      </w:r>
      <w:r>
        <w:rPr>
          <w:sz w:val="28"/>
          <w:szCs w:val="28"/>
        </w:rPr>
        <w:t>а</w:t>
      </w:r>
      <w:r w:rsidR="00AB43D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нна </w:t>
      </w:r>
      <w:r w:rsidR="00AB43DD">
        <w:rPr>
          <w:sz w:val="28"/>
          <w:szCs w:val="28"/>
        </w:rPr>
        <w:t>Е</w:t>
      </w:r>
      <w:r>
        <w:rPr>
          <w:sz w:val="28"/>
          <w:szCs w:val="28"/>
        </w:rPr>
        <w:t>вгеньевна,</w:t>
      </w:r>
      <w:r w:rsidR="00AB43DD">
        <w:rPr>
          <w:sz w:val="28"/>
          <w:szCs w:val="28"/>
        </w:rPr>
        <w:t xml:space="preserve"> ответственный секретарь редакции газеты «Знамя».</w:t>
      </w:r>
    </w:p>
    <w:p w:rsidR="00AB43DD" w:rsidRDefault="00AB43DD" w:rsidP="00AB4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Контроль за исполнение данного постановления возложить на </w:t>
      </w:r>
      <w:r w:rsidR="00C46597">
        <w:rPr>
          <w:sz w:val="28"/>
          <w:szCs w:val="28"/>
        </w:rPr>
        <w:t xml:space="preserve">председателя территориальной избирательной комиссии Кувшиновского района </w:t>
      </w:r>
      <w:r>
        <w:rPr>
          <w:sz w:val="28"/>
          <w:szCs w:val="28"/>
        </w:rPr>
        <w:t>Ершову Е.Н.</w:t>
      </w:r>
    </w:p>
    <w:p w:rsidR="00AB43DD" w:rsidRDefault="00AB43DD" w:rsidP="00AB43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5096" w:rsidRDefault="00965096" w:rsidP="00965096">
      <w:pPr>
        <w:pStyle w:val="a5"/>
        <w:jc w:val="both"/>
        <w:rPr>
          <w:sz w:val="28"/>
          <w:szCs w:val="28"/>
        </w:rPr>
      </w:pPr>
    </w:p>
    <w:p w:rsidR="00442268" w:rsidRDefault="00442268" w:rsidP="0044226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Председатель </w:t>
      </w:r>
    </w:p>
    <w:p w:rsidR="00442268" w:rsidRDefault="00442268" w:rsidP="0044226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территориальной избирательной </w:t>
      </w:r>
    </w:p>
    <w:p w:rsidR="00442268" w:rsidRDefault="00442268" w:rsidP="0044226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комиссии Кувшиновского района                                      Е.Н.Ершова</w:t>
      </w:r>
    </w:p>
    <w:p w:rsidR="00442268" w:rsidRDefault="00442268" w:rsidP="00442268">
      <w:pPr>
        <w:pStyle w:val="a3"/>
        <w:jc w:val="left"/>
        <w:rPr>
          <w:b w:val="0"/>
          <w:sz w:val="28"/>
          <w:szCs w:val="28"/>
        </w:rPr>
      </w:pPr>
    </w:p>
    <w:p w:rsidR="00442268" w:rsidRDefault="00442268" w:rsidP="0044226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Секретарь  </w:t>
      </w:r>
    </w:p>
    <w:p w:rsidR="00442268" w:rsidRDefault="00442268" w:rsidP="0044226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территориальной избирательной </w:t>
      </w:r>
    </w:p>
    <w:p w:rsidR="00442268" w:rsidRPr="00442268" w:rsidRDefault="00442268" w:rsidP="0044226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442268">
        <w:rPr>
          <w:b w:val="0"/>
          <w:sz w:val="28"/>
          <w:szCs w:val="28"/>
        </w:rPr>
        <w:t xml:space="preserve">Кувшиновского района                                      </w:t>
      </w:r>
      <w:proofErr w:type="spellStart"/>
      <w:r w:rsidRPr="00442268">
        <w:rPr>
          <w:b w:val="0"/>
          <w:sz w:val="28"/>
          <w:szCs w:val="28"/>
        </w:rPr>
        <w:t>Е.В.Орлова</w:t>
      </w:r>
      <w:proofErr w:type="spellEnd"/>
    </w:p>
    <w:p w:rsidR="00442268" w:rsidRPr="00442268" w:rsidRDefault="00442268" w:rsidP="00442268">
      <w:pPr>
        <w:ind w:firstLine="567"/>
        <w:jc w:val="both"/>
        <w:rPr>
          <w:sz w:val="28"/>
          <w:szCs w:val="28"/>
        </w:rPr>
      </w:pPr>
    </w:p>
    <w:p w:rsidR="00F55015" w:rsidRDefault="00F55015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C46597" w:rsidP="00530106"/>
    <w:p w:rsidR="00C46597" w:rsidRDefault="005B17ED" w:rsidP="005B17ED">
      <w:pPr>
        <w:jc w:val="center"/>
      </w:pPr>
      <w:r>
        <w:lastRenderedPageBreak/>
        <w:t xml:space="preserve">                                                                                </w:t>
      </w:r>
      <w:r w:rsidR="00C46597">
        <w:t>УТВЕРЖДЕНО</w:t>
      </w:r>
    </w:p>
    <w:p w:rsidR="00C46597" w:rsidRDefault="005B17ED" w:rsidP="005B17ED">
      <w:pPr>
        <w:jc w:val="center"/>
      </w:pPr>
      <w:r>
        <w:t xml:space="preserve">                                                                                 п</w:t>
      </w:r>
      <w:r w:rsidR="00C46597">
        <w:t xml:space="preserve">остановлением </w:t>
      </w:r>
      <w:proofErr w:type="gramStart"/>
      <w:r w:rsidR="00C46597">
        <w:t>территориальной</w:t>
      </w:r>
      <w:proofErr w:type="gramEnd"/>
    </w:p>
    <w:p w:rsidR="00C46597" w:rsidRDefault="005B17ED" w:rsidP="00C46597">
      <w:pPr>
        <w:jc w:val="right"/>
      </w:pPr>
      <w:r>
        <w:t>и</w:t>
      </w:r>
      <w:r w:rsidR="00C46597">
        <w:t xml:space="preserve">збирательной </w:t>
      </w:r>
      <w:r>
        <w:t xml:space="preserve">комиссии Кувшиновского </w:t>
      </w:r>
    </w:p>
    <w:p w:rsidR="005B17ED" w:rsidRDefault="005B17ED" w:rsidP="005B17ED">
      <w:pPr>
        <w:jc w:val="center"/>
      </w:pPr>
      <w:r>
        <w:t xml:space="preserve">                                                                                района от 13.09.2011 №4/14-3</w:t>
      </w:r>
    </w:p>
    <w:p w:rsidR="005B17ED" w:rsidRDefault="005B17ED" w:rsidP="005B17ED">
      <w:pPr>
        <w:jc w:val="center"/>
      </w:pPr>
    </w:p>
    <w:p w:rsidR="005B17ED" w:rsidRDefault="005B17ED" w:rsidP="005B17ED">
      <w:pPr>
        <w:jc w:val="center"/>
      </w:pPr>
    </w:p>
    <w:p w:rsidR="005B17ED" w:rsidRPr="00037B89" w:rsidRDefault="005B17ED" w:rsidP="005B17ED">
      <w:pPr>
        <w:jc w:val="center"/>
        <w:rPr>
          <w:sz w:val="28"/>
          <w:szCs w:val="28"/>
        </w:rPr>
      </w:pPr>
      <w:r w:rsidRPr="00037B89">
        <w:rPr>
          <w:sz w:val="28"/>
          <w:szCs w:val="28"/>
        </w:rPr>
        <w:t>ПОЛОЖЕНИЕ</w:t>
      </w:r>
    </w:p>
    <w:p w:rsidR="005B17ED" w:rsidRPr="00037B89" w:rsidRDefault="005B17ED" w:rsidP="005B17ED">
      <w:pPr>
        <w:jc w:val="center"/>
        <w:rPr>
          <w:sz w:val="28"/>
          <w:szCs w:val="28"/>
        </w:rPr>
      </w:pPr>
      <w:r w:rsidRPr="00037B89">
        <w:rPr>
          <w:sz w:val="28"/>
          <w:szCs w:val="28"/>
        </w:rPr>
        <w:t>о Рабочей группе по информационным спорам и иным вопросам информационного обеспечения выборов</w:t>
      </w:r>
    </w:p>
    <w:p w:rsidR="005B17ED" w:rsidRPr="00037B89" w:rsidRDefault="005B17ED" w:rsidP="005B17ED">
      <w:pPr>
        <w:jc w:val="center"/>
        <w:rPr>
          <w:sz w:val="28"/>
          <w:szCs w:val="28"/>
        </w:rPr>
      </w:pPr>
    </w:p>
    <w:p w:rsidR="005B17ED" w:rsidRPr="00037B89" w:rsidRDefault="005B17ED" w:rsidP="005B17E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37B89">
        <w:rPr>
          <w:sz w:val="28"/>
          <w:szCs w:val="28"/>
        </w:rPr>
        <w:t>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выборов (далее – Рабочая группа).</w:t>
      </w:r>
    </w:p>
    <w:p w:rsidR="005B17ED" w:rsidRPr="00037B89" w:rsidRDefault="005B17ED" w:rsidP="005B17ED">
      <w:pPr>
        <w:pStyle w:val="a5"/>
        <w:ind w:left="0" w:firstLine="426"/>
        <w:jc w:val="both"/>
        <w:rPr>
          <w:sz w:val="28"/>
          <w:szCs w:val="28"/>
        </w:rPr>
      </w:pPr>
      <w:r w:rsidRPr="00037B89">
        <w:rPr>
          <w:sz w:val="28"/>
          <w:szCs w:val="28"/>
        </w:rPr>
        <w:t xml:space="preserve">Рабочая группа формируется из числа членов территориальной избирательной комиссии Кувшиновского района (далее - Комиссия), представителей местного органа исполнительной власти, общественных объединений, иных государственных органов, организаций, осуществляющих выпуск средств массовой информации. </w:t>
      </w:r>
    </w:p>
    <w:p w:rsidR="005B17ED" w:rsidRPr="00037B89" w:rsidRDefault="005B17ED" w:rsidP="005B17E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37B89">
        <w:rPr>
          <w:sz w:val="28"/>
          <w:szCs w:val="28"/>
        </w:rPr>
        <w:t>В компетенцию Рабочей группы входит:</w:t>
      </w:r>
    </w:p>
    <w:p w:rsidR="005B17ED" w:rsidRPr="00037B89" w:rsidRDefault="005B17ED" w:rsidP="00601CA2">
      <w:pPr>
        <w:pStyle w:val="a5"/>
        <w:ind w:left="0" w:firstLine="709"/>
        <w:jc w:val="both"/>
        <w:rPr>
          <w:sz w:val="28"/>
          <w:szCs w:val="28"/>
        </w:rPr>
      </w:pPr>
      <w:r w:rsidRPr="00037B89">
        <w:rPr>
          <w:sz w:val="28"/>
          <w:szCs w:val="28"/>
        </w:rPr>
        <w:t>- сбор и систематизация сведений о размере и других условиях оплаты работ (услуг) по изготовлению печатных агитационных материалов, представленных организациями, индивидуальными предпринимателями, выполняющими работы (</w:t>
      </w:r>
      <w:r w:rsidR="00601CA2" w:rsidRPr="00037B89">
        <w:rPr>
          <w:sz w:val="28"/>
          <w:szCs w:val="28"/>
        </w:rPr>
        <w:t>оказывающими услуги</w:t>
      </w:r>
      <w:r w:rsidRPr="00037B89">
        <w:rPr>
          <w:sz w:val="28"/>
          <w:szCs w:val="28"/>
        </w:rPr>
        <w:t>)</w:t>
      </w:r>
      <w:r w:rsidR="00601CA2" w:rsidRPr="00037B89">
        <w:rPr>
          <w:sz w:val="28"/>
          <w:szCs w:val="28"/>
        </w:rPr>
        <w:t xml:space="preserve"> по изготовлению печатных агитационных материалов, в Комиссию в порядке, установленном действующим законодательством о выборах;</w:t>
      </w:r>
    </w:p>
    <w:p w:rsidR="00601CA2" w:rsidRPr="00037B89" w:rsidRDefault="00601CA2" w:rsidP="00601CA2">
      <w:pPr>
        <w:pStyle w:val="a5"/>
        <w:ind w:left="0" w:firstLine="720"/>
        <w:jc w:val="both"/>
        <w:rPr>
          <w:sz w:val="28"/>
          <w:szCs w:val="28"/>
        </w:rPr>
      </w:pPr>
      <w:r w:rsidRPr="00037B89">
        <w:rPr>
          <w:sz w:val="28"/>
          <w:szCs w:val="28"/>
        </w:rPr>
        <w:t>- сбор и систематизация экземпляров аудиовизуальных агитационных материалов, фотографии, иных агитационных материалов, представленных в Комиссию;</w:t>
      </w:r>
    </w:p>
    <w:p w:rsidR="00284210" w:rsidRPr="00037B89" w:rsidRDefault="00601CA2" w:rsidP="00601CA2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037B89">
        <w:rPr>
          <w:sz w:val="28"/>
          <w:szCs w:val="28"/>
        </w:rPr>
        <w:t xml:space="preserve">- </w:t>
      </w:r>
      <w:r w:rsidR="00284210" w:rsidRPr="00037B89">
        <w:rPr>
          <w:sz w:val="28"/>
          <w:szCs w:val="28"/>
        </w:rPr>
        <w:t xml:space="preserve">рассмотрение во взаимодействии с </w:t>
      </w:r>
      <w:proofErr w:type="spellStart"/>
      <w:r w:rsidR="00284210" w:rsidRPr="00037B89">
        <w:rPr>
          <w:sz w:val="28"/>
          <w:szCs w:val="28"/>
        </w:rPr>
        <w:t>контрольно</w:t>
      </w:r>
      <w:proofErr w:type="spellEnd"/>
      <w:r w:rsidR="00284210" w:rsidRPr="00037B89">
        <w:rPr>
          <w:sz w:val="28"/>
          <w:szCs w:val="28"/>
        </w:rPr>
        <w:t xml:space="preserve"> – ревизионной службой при Комиссии экземпляров печатных агитационных материалов или их копий, экземпляров аудиовизуальных агитационных материалов, фотографий, иных агитационных материалов, представленных в Комиссию кандидатами, региональными группами, избирательными объединениями на предмет их соответствия действующему законодательству о выборах, а в случае необходимости, подготовка соответствующих заключений и проектов постановлений Комиссии;</w:t>
      </w:r>
      <w:proofErr w:type="gramEnd"/>
    </w:p>
    <w:p w:rsidR="00284210" w:rsidRPr="00037B89" w:rsidRDefault="00284210" w:rsidP="00601CA2">
      <w:pPr>
        <w:pStyle w:val="a5"/>
        <w:ind w:left="0" w:firstLine="720"/>
        <w:jc w:val="both"/>
        <w:rPr>
          <w:sz w:val="28"/>
          <w:szCs w:val="28"/>
        </w:rPr>
      </w:pPr>
      <w:r w:rsidRPr="00037B89">
        <w:rPr>
          <w:sz w:val="28"/>
          <w:szCs w:val="28"/>
        </w:rPr>
        <w:t>- рассмотрение вопросов, касающихся публикаций результатов опросов общественного мнения, связанных с выборами, проводимыми на территории Кувшиновского района;</w:t>
      </w:r>
    </w:p>
    <w:p w:rsidR="00284210" w:rsidRPr="00037B89" w:rsidRDefault="00284210" w:rsidP="00601CA2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037B89">
        <w:rPr>
          <w:sz w:val="28"/>
          <w:szCs w:val="28"/>
        </w:rPr>
        <w:t xml:space="preserve">- предварительное рассмотрение обращений о нарушениях положений Федеральных законов «Об основных гарантиях избирательных прав и права на участие в референдуме граждан Российской Федерации», «О выборах депутатов Государственной Думы Федерального Собрания Российской Федерации», «О выборах Президента Российской Федерации», Избирательного кодекса Тверской области, регулирующих информирование </w:t>
      </w:r>
      <w:r w:rsidRPr="00037B89">
        <w:rPr>
          <w:sz w:val="28"/>
          <w:szCs w:val="28"/>
        </w:rPr>
        <w:lastRenderedPageBreak/>
        <w:t>избирателей, проведение агитации, а также подготовка проектов постановлений Комиссии, либо ответа заявителю;</w:t>
      </w:r>
      <w:proofErr w:type="gramEnd"/>
    </w:p>
    <w:p w:rsidR="00037B89" w:rsidRPr="00037B89" w:rsidRDefault="00284210" w:rsidP="00601CA2">
      <w:pPr>
        <w:pStyle w:val="a5"/>
        <w:ind w:left="0" w:firstLine="720"/>
        <w:jc w:val="both"/>
        <w:rPr>
          <w:sz w:val="28"/>
          <w:szCs w:val="28"/>
        </w:rPr>
      </w:pPr>
      <w:r w:rsidRPr="00037B89">
        <w:rPr>
          <w:sz w:val="28"/>
          <w:szCs w:val="28"/>
        </w:rPr>
        <w:t xml:space="preserve">- </w:t>
      </w:r>
      <w:r w:rsidR="00037B89" w:rsidRPr="00037B89">
        <w:rPr>
          <w:sz w:val="28"/>
          <w:szCs w:val="28"/>
        </w:rPr>
        <w:t>сбор и систематизация материалов о нарушениях действующего законодательства, регулирующего порядок информирования избирателей и проведение предвыборной агитации, допущенных кандидатами, региональными группами, избирательными объединениями, организациями телерадиовещания, редакциями периодических печатных изданий, иными лицами в ходе выборов, проводимых на территории Кувшиновского района, а также подготовка соответствующих заключений;</w:t>
      </w:r>
    </w:p>
    <w:p w:rsidR="00037B89" w:rsidRPr="00037B89" w:rsidRDefault="00037B89" w:rsidP="00601CA2">
      <w:pPr>
        <w:pStyle w:val="a5"/>
        <w:ind w:left="0" w:firstLine="720"/>
        <w:jc w:val="both"/>
        <w:rPr>
          <w:sz w:val="28"/>
          <w:szCs w:val="28"/>
        </w:rPr>
      </w:pPr>
      <w:r w:rsidRPr="00037B89">
        <w:rPr>
          <w:sz w:val="28"/>
          <w:szCs w:val="28"/>
        </w:rPr>
        <w:t>- подготовка проектов представлений Комиссии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037B89" w:rsidRDefault="00037B89" w:rsidP="00601CA2">
      <w:pPr>
        <w:pStyle w:val="a5"/>
        <w:ind w:left="0" w:firstLine="720"/>
        <w:jc w:val="both"/>
        <w:rPr>
          <w:sz w:val="28"/>
          <w:szCs w:val="28"/>
        </w:rPr>
      </w:pPr>
      <w:r w:rsidRPr="00037B89">
        <w:rPr>
          <w:sz w:val="28"/>
          <w:szCs w:val="28"/>
        </w:rPr>
        <w:t xml:space="preserve">- рассмотрение полученных Комиссией 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периодических печатных изданий, общественных объединений, их должностных лиц, сведений и материалов по вопросам компетенции </w:t>
      </w:r>
      <w:r w:rsidRPr="00037B89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:rsidR="00AB00AE" w:rsidRDefault="00037B89" w:rsidP="00601CA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 в своей деятельности руководствуется Конституцией Российской Федерации, федеральными конституционными законами, федеральными законами, законами Тверской области, решениями Центральной избирательной комиссии Российской Федерации, решениями избирательной комиссии Тверской области</w:t>
      </w:r>
      <w:r w:rsidR="00AB00AE">
        <w:rPr>
          <w:sz w:val="28"/>
          <w:szCs w:val="28"/>
        </w:rPr>
        <w:t>, решениями Комиссии, а также настоящим Положением.</w:t>
      </w:r>
    </w:p>
    <w:p w:rsidR="00AB00AE" w:rsidRDefault="00AB00AE" w:rsidP="00601CA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1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созывает руководитель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(в случае его отсутствия – заместитель руководителя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). Заседание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созывается по мере необходимости. Деятельность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осуществляется коллегиально. Заседание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является правомочным, если на нем присутствует более половины от установленного числа членов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:rsidR="00AB00AE" w:rsidRDefault="00AB00AE" w:rsidP="00601CA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осуществляется на основе коллегиальности, открытого обсуждения вопросов, относящихся к ее компетенции.</w:t>
      </w:r>
    </w:p>
    <w:p w:rsidR="00601CA2" w:rsidRDefault="00AB00AE" w:rsidP="00601CA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вправе присутствовать и высказывать свое мнение</w:t>
      </w:r>
      <w:r w:rsidR="00037B89">
        <w:rPr>
          <w:sz w:val="28"/>
          <w:szCs w:val="28"/>
        </w:rPr>
        <w:t xml:space="preserve"> </w:t>
      </w:r>
      <w:r w:rsidR="00284210" w:rsidRPr="00037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Центральной избирательной комиссии Российской Федерации и работники ее Аппарата, работники аппарата избирательной комиссии Тверской области, члены Комиссии, участвующие в подготовке материалов к заседанию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:rsidR="003F4FEA" w:rsidRDefault="00AB00AE" w:rsidP="00601CA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заседании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вправе принимать участие заявители, лица, чьи действия явились основанием для вынесения вопроса на рассмотрение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а также лица, уполномоченные представлять их интересы, и иные заинтересованные лица. Полномочия каждого представителя заявителя и иных заинтересованных лиц должны быть оформлены в установленном порядке. Для рассмотрения выносимых на заседание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вопросов могут приглашаться представители </w:t>
      </w:r>
      <w:r>
        <w:rPr>
          <w:sz w:val="28"/>
          <w:szCs w:val="28"/>
        </w:rPr>
        <w:lastRenderedPageBreak/>
        <w:t xml:space="preserve">избирательных комиссий, организаций, осуществляющих выпуск средств массовой информации, органов местного самоуправления, специалисты, эксперты и иные лица. </w:t>
      </w:r>
      <w:r w:rsidR="003F4FEA">
        <w:rPr>
          <w:sz w:val="28"/>
          <w:szCs w:val="28"/>
        </w:rPr>
        <w:t xml:space="preserve">Список указанных лиц составляется и подписывается руководителем </w:t>
      </w:r>
      <w:r w:rsidR="003F4FEA">
        <w:rPr>
          <w:sz w:val="28"/>
          <w:szCs w:val="28"/>
        </w:rPr>
        <w:t>Рабочей группы</w:t>
      </w:r>
      <w:r w:rsidR="003F4FEA">
        <w:rPr>
          <w:sz w:val="28"/>
          <w:szCs w:val="28"/>
        </w:rPr>
        <w:t>, либо его заместителем, накануне очередного заседания.</w:t>
      </w:r>
    </w:p>
    <w:p w:rsidR="003F4FEA" w:rsidRDefault="003F4FEA" w:rsidP="00601CA2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дает поручения, касающиеся подготовки материалов к заседанию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оповещения ее членов и приглашенных лиц о времени и месте заседания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организует делопроизводство в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>, председательствует на ее заседаниях, предоставляет слово участникам заседания, ставит на голосование поступающие предложения, оглашает результаты голосования, организует принятие решения по обсуждаемому вопросу.</w:t>
      </w:r>
      <w:proofErr w:type="gramEnd"/>
    </w:p>
    <w:p w:rsidR="003F4FEA" w:rsidRDefault="003F4FEA" w:rsidP="00601CA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руководителя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а также по его поручению обязанности руководителя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исполняет его заместитель, а в случае его отсутствия – иной уполномоченный на то член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из числа членов Комиссии.</w:t>
      </w:r>
    </w:p>
    <w:p w:rsidR="003F4FEA" w:rsidRDefault="003F4FEA" w:rsidP="00601CA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выступлений на заседаниях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устанавливается председательствующим по согласованию с докладчиками и содокладчиками и не должна превышать: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CB16DE" w:rsidRDefault="00CB16DE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Поступившие в Комиссию обращения и иные документы, рассматриваются на заседаниях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 поручению председателя, а в его отсутствие – заместителя председателя, секретаря Комиссии.</w:t>
      </w:r>
    </w:p>
    <w:p w:rsidR="00CB16DE" w:rsidRDefault="00CB16DE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заседаниям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ведется в соответствии с поручениями руководителя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членом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ответственным за подготовку конкретного вопроса, а также другими членами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соответствующими избирательными комиссиями, а также привлекаемыми специалистами. К заседанию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готовятся документы, необходимые для рассмотрения обращений, и иные документы, проект решения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 рассматриваемому обращению или иному документу, а в необходимых случаях – заключения специалистов.</w:t>
      </w:r>
    </w:p>
    <w:p w:rsidR="00CB16DE" w:rsidRDefault="00C7123C" w:rsidP="00CB16D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 поручению руководителя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готовит документы, необходимые для рассмотрения обращений, иные документы; готовит необходимые запросы; извещает членов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о дате и времени заседания; обеспечивает направление телеграмм заинтересованным сторонам и пропуск приглашенных лиц, участвующих в заседании; составляет список участников заседания, в том числе приглашенных; регистрирует участников заседания.</w:t>
      </w:r>
      <w:proofErr w:type="gramEnd"/>
    </w:p>
    <w:p w:rsidR="00C7123C" w:rsidRDefault="00C7123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Срок рассмотрения обращений, поступающих в </w:t>
      </w:r>
      <w:r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у, определяется в соответствии с федеральными законами, законами Тверской области и инструкцией по делопроизводству, утвержденной Комиссией.</w:t>
      </w:r>
    </w:p>
    <w:p w:rsidR="00F2687C" w:rsidRDefault="00F2687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заседании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ведется протокол, а при необходимости – аудиозапись.</w:t>
      </w:r>
    </w:p>
    <w:p w:rsidR="00F2687C" w:rsidRDefault="00F2687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протоколе указываются: дата и повестка дня заседания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присутствующие на заседании (члены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заинтересованные стороны или их представители, другие приглашенные на заседание, выступившие при обсуждении вопросов повестки дня), внесенные предложения, результаты голосования по внесенным предложениям, а также итоговое решение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 результаты голосования по этому решению.</w:t>
      </w:r>
    </w:p>
    <w:p w:rsidR="00F2687C" w:rsidRDefault="00F2687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ведет секретарь заседания, назначаемый председательствующим на заседании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. Протокол подписывается председательствующим на заседании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 секретарем заседания.</w:t>
      </w:r>
    </w:p>
    <w:p w:rsidR="00F2687C" w:rsidRDefault="00F2687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каждого вопроса на заседании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принимается решение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которое подписывается руководителем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 секретарем заседания.</w:t>
      </w:r>
    </w:p>
    <w:p w:rsidR="00F2687C" w:rsidRDefault="00F2687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принимается большинством голосов от числа присутствующих на заседании членов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открытым голосованием. В случае равенства голосов «за» и «против» голос председательствующего на заседании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является решающим.</w:t>
      </w:r>
    </w:p>
    <w:p w:rsidR="0008332C" w:rsidRDefault="00F2687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не принимает участие в голосовании, если предметом рассмотрения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является обращение в связи с действием (бездействием) организации, осуществляющей выпуск средств массовой информации, председателем которой он является. В этом случае указанный член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не учитывается при определении установленного числа членов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из числа присутствующих на заседании членов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:rsidR="0008332C" w:rsidRDefault="0008332C" w:rsidP="00CB16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а при необходимости и соответствующий проект решения Комиссии выносятся на заседание Комиссии в установленном порядке. С докладом по этому вопросу выступает руководитель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либо по его поручению – заместитель руководителя, либо член </w:t>
      </w:r>
      <w:r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– член Комиссии с правом решающего голоса.</w:t>
      </w:r>
    </w:p>
    <w:p w:rsidR="00AB00AE" w:rsidRPr="00037B89" w:rsidRDefault="0008332C" w:rsidP="00ED7F2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организациями телерадиовещания и редакциями </w:t>
      </w:r>
      <w:r w:rsidR="00C7123C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периодических печатных изданий сведения о размере и иных условиях оплаты эфирного времени, печатной площади, уведомления о готовности предоставить эфирное время и печатную площадь кандидатам, региональным группам, избирательным объединениям, экземпляры печатных агитационных материалов или их</w:t>
      </w:r>
      <w:proofErr w:type="gramEnd"/>
      <w:r>
        <w:rPr>
          <w:sz w:val="28"/>
          <w:szCs w:val="28"/>
        </w:rPr>
        <w:t xml:space="preserve"> копии, экземпляры аудиовизуальных агитационных материалов, фотографии иных агитационных материалов, другие документы, обращения о порядке применения законодательства в ходе информирования избирателей, при проведении предвыборной агитации, другие документы передаются </w:t>
      </w:r>
      <w:r w:rsidR="00ED7F21">
        <w:rPr>
          <w:sz w:val="28"/>
          <w:szCs w:val="28"/>
        </w:rPr>
        <w:t>исполнителями на хранение в порядке, установленном Комиссией.</w:t>
      </w:r>
      <w:bookmarkStart w:id="0" w:name="_GoBack"/>
      <w:bookmarkEnd w:id="0"/>
      <w:r w:rsidR="003F4FEA">
        <w:rPr>
          <w:sz w:val="28"/>
          <w:szCs w:val="28"/>
        </w:rPr>
        <w:t xml:space="preserve">  </w:t>
      </w:r>
    </w:p>
    <w:p w:rsidR="00601CA2" w:rsidRPr="00037B89" w:rsidRDefault="00601CA2" w:rsidP="00601CA2">
      <w:pPr>
        <w:jc w:val="both"/>
        <w:rPr>
          <w:sz w:val="28"/>
          <w:szCs w:val="28"/>
        </w:rPr>
      </w:pPr>
    </w:p>
    <w:sectPr w:rsidR="00601CA2" w:rsidRPr="00037B89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178"/>
    <w:multiLevelType w:val="hybridMultilevel"/>
    <w:tmpl w:val="0C00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7A2"/>
    <w:multiLevelType w:val="hybridMultilevel"/>
    <w:tmpl w:val="9A2A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6"/>
    <w:rsid w:val="00037B89"/>
    <w:rsid w:val="0008332C"/>
    <w:rsid w:val="00284210"/>
    <w:rsid w:val="003F4FEA"/>
    <w:rsid w:val="00442268"/>
    <w:rsid w:val="00530106"/>
    <w:rsid w:val="005B17ED"/>
    <w:rsid w:val="00601CA2"/>
    <w:rsid w:val="008743C7"/>
    <w:rsid w:val="00965096"/>
    <w:rsid w:val="00AB00AE"/>
    <w:rsid w:val="00AB43DD"/>
    <w:rsid w:val="00C46597"/>
    <w:rsid w:val="00C7123C"/>
    <w:rsid w:val="00CB16DE"/>
    <w:rsid w:val="00ED7F21"/>
    <w:rsid w:val="00F2687C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1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301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6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1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301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6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ACF2-E6F7-4ABF-92A4-2FAB0A3D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2012-06-19T10:55:00Z</cp:lastPrinted>
  <dcterms:created xsi:type="dcterms:W3CDTF">2011-12-26T07:24:00Z</dcterms:created>
  <dcterms:modified xsi:type="dcterms:W3CDTF">2012-06-19T10:58:00Z</dcterms:modified>
</cp:coreProperties>
</file>